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E30F5" w14:textId="1B58472B" w:rsidR="00C10DB0" w:rsidRPr="00E63FB7" w:rsidRDefault="0055275D" w:rsidP="00575CA4">
      <w:pPr>
        <w:jc w:val="both"/>
        <w:rPr>
          <w:rFonts w:ascii="Arial" w:hAnsi="Arial"/>
          <w:bCs/>
          <w:sz w:val="24"/>
          <w:rtl/>
        </w:rPr>
      </w:pPr>
      <w:r w:rsidRPr="00637137">
        <w:rPr>
          <w:rFonts w:ascii="Arial" w:hAnsi="Arial"/>
          <w:bCs/>
          <w:sz w:val="24"/>
          <w:rtl/>
        </w:rPr>
        <w:t>בית המשפט לענייני משפחה</w:t>
      </w:r>
      <w:r w:rsidRPr="00637137">
        <w:rPr>
          <w:rFonts w:ascii="Arial" w:hAnsi="Arial" w:hint="cs"/>
          <w:bCs/>
          <w:sz w:val="24"/>
          <w:rtl/>
        </w:rPr>
        <w:tab/>
      </w:r>
      <w:r w:rsidRPr="00637137">
        <w:rPr>
          <w:rFonts w:ascii="Arial" w:hAnsi="Arial" w:hint="cs"/>
          <w:bCs/>
          <w:sz w:val="24"/>
          <w:rtl/>
        </w:rPr>
        <w:tab/>
      </w:r>
      <w:r>
        <w:rPr>
          <w:rFonts w:ascii="Arial" w:hAnsi="Arial"/>
          <w:bCs/>
          <w:sz w:val="24"/>
          <w:rtl/>
        </w:rPr>
        <w:tab/>
      </w:r>
      <w:r w:rsidRPr="00637137">
        <w:rPr>
          <w:rFonts w:ascii="Arial" w:hAnsi="Arial" w:hint="cs"/>
          <w:bCs/>
          <w:sz w:val="24"/>
          <w:rtl/>
        </w:rPr>
        <w:tab/>
      </w:r>
      <w:r w:rsidRPr="00637137">
        <w:rPr>
          <w:rFonts w:ascii="Arial" w:hAnsi="Arial" w:hint="cs"/>
          <w:bCs/>
          <w:sz w:val="24"/>
          <w:rtl/>
        </w:rPr>
        <w:tab/>
      </w:r>
      <w:r>
        <w:rPr>
          <w:rFonts w:ascii="Arial" w:hAnsi="Arial"/>
          <w:bCs/>
          <w:sz w:val="24"/>
          <w:rtl/>
        </w:rPr>
        <w:tab/>
      </w:r>
      <w:r>
        <w:rPr>
          <w:rFonts w:ascii="Arial" w:hAnsi="Arial"/>
          <w:bCs/>
          <w:sz w:val="24"/>
          <w:rtl/>
        </w:rPr>
        <w:tab/>
      </w:r>
    </w:p>
    <w:p w14:paraId="5A972904" w14:textId="54B25823" w:rsidR="0081582B" w:rsidRDefault="0055275D" w:rsidP="00A008BE">
      <w:pPr>
        <w:jc w:val="both"/>
      </w:pPr>
      <w:r w:rsidRPr="00637137">
        <w:rPr>
          <w:rFonts w:ascii="Arial" w:hAnsi="Arial" w:hint="cs"/>
          <w:bCs/>
          <w:sz w:val="24"/>
          <w:u w:val="single"/>
          <w:rtl/>
        </w:rPr>
        <w:t xml:space="preserve"> </w:t>
      </w:r>
    </w:p>
    <w:p w14:paraId="35435A71" w14:textId="31BBA130" w:rsidR="002107B7" w:rsidRDefault="00D64C79" w:rsidP="00A008BE">
      <w:pPr>
        <w:jc w:val="center"/>
        <w:rPr>
          <w:rFonts w:hint="cs"/>
          <w:b/>
          <w:bCs/>
          <w:sz w:val="32"/>
          <w:szCs w:val="32"/>
          <w:u w:val="single"/>
          <w:rtl/>
        </w:rPr>
      </w:pPr>
      <w:r>
        <w:rPr>
          <w:rFonts w:hint="cs"/>
          <w:b/>
          <w:bCs/>
          <w:sz w:val="32"/>
          <w:szCs w:val="32"/>
          <w:u w:val="single"/>
          <w:rtl/>
        </w:rPr>
        <w:t>בקשה לפרסום פסק דין ללא פרטים מזהים</w:t>
      </w:r>
    </w:p>
    <w:p w14:paraId="04F22B51" w14:textId="77777777" w:rsidR="00724756" w:rsidRDefault="00724756" w:rsidP="00575CA4">
      <w:pPr>
        <w:spacing w:line="360" w:lineRule="auto"/>
        <w:ind w:right="284"/>
        <w:jc w:val="both"/>
        <w:rPr>
          <w:b/>
          <w:bCs/>
          <w:sz w:val="10"/>
          <w:szCs w:val="10"/>
          <w:u w:val="single"/>
          <w:rtl/>
        </w:rPr>
      </w:pPr>
    </w:p>
    <w:p w14:paraId="6626252B" w14:textId="49CB860B" w:rsidR="00B046DC" w:rsidRDefault="00724756" w:rsidP="00575CA4">
      <w:pPr>
        <w:pStyle w:val="a3"/>
        <w:numPr>
          <w:ilvl w:val="0"/>
          <w:numId w:val="3"/>
        </w:numPr>
        <w:spacing w:after="0" w:line="360" w:lineRule="auto"/>
        <w:ind w:left="357" w:right="-142" w:hanging="357"/>
        <w:jc w:val="both"/>
        <w:rPr>
          <w:rFonts w:hint="cs"/>
        </w:rPr>
      </w:pPr>
      <w:r>
        <w:rPr>
          <w:rtl/>
        </w:rPr>
        <w:t>בית המשפט הנכבד מתבקש להתיר לפרסום את פסק הדין אשר ניתן בתיק דנא, תוך השמטת שמות הצדדים והפרטים המזהים שלהם ושל הקטינים.</w:t>
      </w:r>
    </w:p>
    <w:p w14:paraId="3AD0DC30" w14:textId="77777777" w:rsidR="00B046DC" w:rsidRDefault="00B046DC" w:rsidP="00575CA4">
      <w:pPr>
        <w:spacing w:after="0" w:line="360" w:lineRule="auto"/>
        <w:ind w:right="-142"/>
        <w:jc w:val="both"/>
        <w:rPr>
          <w:rFonts w:hint="cs"/>
        </w:rPr>
      </w:pPr>
    </w:p>
    <w:p w14:paraId="2EAC6461" w14:textId="77777777" w:rsidR="00724756" w:rsidRDefault="00724756" w:rsidP="00575CA4">
      <w:pPr>
        <w:pStyle w:val="a3"/>
        <w:numPr>
          <w:ilvl w:val="0"/>
          <w:numId w:val="3"/>
        </w:numPr>
        <w:spacing w:after="0" w:line="360" w:lineRule="auto"/>
        <w:ind w:left="357" w:right="-142" w:hanging="357"/>
        <w:jc w:val="both"/>
        <w:rPr>
          <w:rFonts w:hint="cs"/>
        </w:rPr>
      </w:pPr>
      <w:r>
        <w:rPr>
          <w:rtl/>
        </w:rPr>
        <w:t>פסק הדין אשר ניתן בתיק דנא, מקפל בתוכו שאלות משפטיות הרלבנטיות למתדיינים רבים המופיעים בפני בית משפט נכבד זה וכן כלל בתי המשפט לענייני משפחה, ושאלות אלה נדונו בהרחבה וניתן להם מענה מקיף ומרשים במסגרת פסק הדין, והוא עשוי להועיל לנוגעים בדבר.</w:t>
      </w:r>
    </w:p>
    <w:p w14:paraId="7C7E9525" w14:textId="77777777" w:rsidR="00B046DC" w:rsidRDefault="00B046DC" w:rsidP="00A008BE">
      <w:pPr>
        <w:pStyle w:val="a3"/>
        <w:spacing w:after="0" w:line="240" w:lineRule="auto"/>
        <w:jc w:val="both"/>
        <w:rPr>
          <w:rFonts w:hint="cs"/>
          <w:rtl/>
        </w:rPr>
      </w:pPr>
    </w:p>
    <w:p w14:paraId="61BD53DB" w14:textId="63D26721" w:rsidR="004958D4" w:rsidRDefault="00724756" w:rsidP="00575CA4">
      <w:pPr>
        <w:pStyle w:val="a3"/>
        <w:numPr>
          <w:ilvl w:val="0"/>
          <w:numId w:val="3"/>
        </w:numPr>
        <w:spacing w:after="0" w:line="360" w:lineRule="auto"/>
        <w:ind w:right="-142"/>
        <w:jc w:val="both"/>
        <w:rPr>
          <w:rFonts w:hint="cs"/>
        </w:rPr>
      </w:pPr>
      <w:r>
        <w:rPr>
          <w:rtl/>
        </w:rPr>
        <w:t>לצדדים לא ייגרם כל נזק מהפרסום הואיל וכאמור פרטי הצדדים והקטינים יושמטו ממנו.</w:t>
      </w:r>
    </w:p>
    <w:p w14:paraId="7935AB44" w14:textId="77777777" w:rsidR="00B046DC" w:rsidRDefault="00B046DC" w:rsidP="00575CA4">
      <w:pPr>
        <w:pStyle w:val="a3"/>
        <w:spacing w:after="0" w:line="240" w:lineRule="auto"/>
        <w:jc w:val="both"/>
        <w:rPr>
          <w:rFonts w:hint="cs"/>
          <w:rtl/>
        </w:rPr>
      </w:pPr>
    </w:p>
    <w:p w14:paraId="366A8081" w14:textId="77777777" w:rsidR="000C758B" w:rsidRDefault="004958D4" w:rsidP="00575CA4">
      <w:pPr>
        <w:pStyle w:val="a3"/>
        <w:numPr>
          <w:ilvl w:val="0"/>
          <w:numId w:val="3"/>
        </w:numPr>
        <w:spacing w:after="0" w:line="360" w:lineRule="auto"/>
        <w:ind w:left="357" w:right="-142" w:hanging="357"/>
        <w:jc w:val="both"/>
        <w:rPr>
          <w:rFonts w:hint="cs"/>
        </w:rPr>
      </w:pPr>
      <w:r w:rsidRPr="004958D4">
        <w:rPr>
          <w:rFonts w:hint="cs"/>
          <w:rtl/>
        </w:rPr>
        <w:t>ב</w:t>
      </w:r>
      <w:r w:rsidRPr="004958D4">
        <w:rPr>
          <w:rtl/>
        </w:rPr>
        <w:t xml:space="preserve">בג"ץ 8001/19 מתאריך 30.11.2020 </w:t>
      </w:r>
      <w:r w:rsidRPr="004958D4">
        <w:rPr>
          <w:rFonts w:hint="cs"/>
          <w:rtl/>
        </w:rPr>
        <w:t xml:space="preserve">צוין: </w:t>
      </w:r>
    </w:p>
    <w:p w14:paraId="15F92A82" w14:textId="77777777" w:rsidR="000C758B" w:rsidRDefault="000C758B" w:rsidP="00A008BE">
      <w:pPr>
        <w:pStyle w:val="a3"/>
        <w:spacing w:after="0" w:line="240" w:lineRule="auto"/>
        <w:jc w:val="both"/>
        <w:rPr>
          <w:rFonts w:hint="cs"/>
          <w:rtl/>
        </w:rPr>
      </w:pPr>
    </w:p>
    <w:p w14:paraId="2DC9E086" w14:textId="2ED0A93C" w:rsidR="00C10DB0" w:rsidRPr="000C758B" w:rsidRDefault="004958D4" w:rsidP="00575CA4">
      <w:pPr>
        <w:spacing w:after="0" w:line="360" w:lineRule="auto"/>
        <w:ind w:left="357" w:right="-142"/>
        <w:jc w:val="both"/>
        <w:rPr>
          <w:rFonts w:hint="cs"/>
          <w:b/>
          <w:bCs/>
          <w:rtl/>
        </w:rPr>
      </w:pPr>
      <w:r w:rsidRPr="000C758B">
        <w:rPr>
          <w:b/>
          <w:bCs/>
          <w:rtl/>
        </w:rPr>
        <w:t>"</w:t>
      </w:r>
      <w:r w:rsidRPr="000C758B">
        <w:rPr>
          <w:rFonts w:hint="cs"/>
          <w:b/>
          <w:bCs/>
          <w:rtl/>
        </w:rPr>
        <w:t>...</w:t>
      </w:r>
      <w:r w:rsidRPr="000C758B">
        <w:rPr>
          <w:b/>
          <w:bCs/>
          <w:rtl/>
        </w:rPr>
        <w:t>ואף אנו סבורים כי ישנה חשיבות לשינוי תפיסתי שיאפשר פרסום פסיקת בתי משפט אלה במתכונת שתמנע פגיעה בפרטיות  ובאינטרסים אחרים של בעלי הדין</w:t>
      </w:r>
      <w:r w:rsidRPr="000C758B">
        <w:rPr>
          <w:b/>
          <w:bCs/>
        </w:rPr>
        <w:t>."</w:t>
      </w:r>
    </w:p>
    <w:p w14:paraId="6AD0DFEE" w14:textId="77777777" w:rsidR="004958D4" w:rsidRDefault="004958D4" w:rsidP="00575CA4">
      <w:pPr>
        <w:pStyle w:val="a3"/>
        <w:spacing w:line="240" w:lineRule="auto"/>
        <w:ind w:left="360"/>
        <w:jc w:val="both"/>
      </w:pPr>
    </w:p>
    <w:p w14:paraId="03E0073B" w14:textId="1419C80F" w:rsidR="00110A98" w:rsidRDefault="005547E6" w:rsidP="00575CA4">
      <w:pPr>
        <w:pStyle w:val="a3"/>
        <w:numPr>
          <w:ilvl w:val="0"/>
          <w:numId w:val="3"/>
        </w:numPr>
        <w:spacing w:after="0" w:line="360" w:lineRule="auto"/>
        <w:ind w:left="357" w:hanging="357"/>
        <w:jc w:val="both"/>
      </w:pPr>
      <w:r>
        <w:rPr>
          <w:rFonts w:hint="cs"/>
          <w:rtl/>
        </w:rPr>
        <w:t>ב</w:t>
      </w:r>
      <w:r w:rsidRPr="005547E6">
        <w:rPr>
          <w:rtl/>
        </w:rPr>
        <w:t>רמ</w:t>
      </w:r>
      <w:r>
        <w:rPr>
          <w:rFonts w:hint="cs"/>
          <w:rtl/>
        </w:rPr>
        <w:t>"</w:t>
      </w:r>
      <w:r w:rsidRPr="005547E6">
        <w:rPr>
          <w:rtl/>
        </w:rPr>
        <w:t>ש (</w:t>
      </w:r>
      <w:r w:rsidR="000C758B">
        <w:rPr>
          <w:rFonts w:hint="cs"/>
          <w:rtl/>
        </w:rPr>
        <w:t xml:space="preserve">מחוזי </w:t>
      </w:r>
      <w:r w:rsidRPr="005547E6">
        <w:rPr>
          <w:rtl/>
        </w:rPr>
        <w:t xml:space="preserve">חיפה)  </w:t>
      </w:r>
      <w:r>
        <w:rPr>
          <w:rFonts w:hint="cs"/>
          <w:rtl/>
        </w:rPr>
        <w:t>53787-01-20</w:t>
      </w:r>
      <w:r w:rsidR="004958D4">
        <w:rPr>
          <w:rFonts w:hint="cs"/>
          <w:rtl/>
        </w:rPr>
        <w:t xml:space="preserve"> </w:t>
      </w:r>
      <w:r w:rsidR="00110A98">
        <w:rPr>
          <w:rFonts w:hint="cs"/>
          <w:rtl/>
        </w:rPr>
        <w:t xml:space="preserve">מפי כב' השופט א. אלון בלשון שיש להעתיקה לענייננו </w:t>
      </w:r>
      <w:r w:rsidR="00110A98">
        <w:rPr>
          <w:rtl/>
        </w:rPr>
        <w:t>–</w:t>
      </w:r>
      <w:r w:rsidR="00110A98">
        <w:rPr>
          <w:rFonts w:hint="cs"/>
          <w:rtl/>
        </w:rPr>
        <w:t xml:space="preserve"> </w:t>
      </w:r>
    </w:p>
    <w:p w14:paraId="53B2B6AC" w14:textId="77777777" w:rsidR="00D64C79" w:rsidRDefault="00D64C79" w:rsidP="00575CA4">
      <w:pPr>
        <w:pStyle w:val="a3"/>
        <w:spacing w:line="240" w:lineRule="auto"/>
        <w:ind w:left="360"/>
        <w:jc w:val="both"/>
      </w:pPr>
    </w:p>
    <w:p w14:paraId="25D9AEBD" w14:textId="73F07382" w:rsidR="00110A98" w:rsidRDefault="00110A98" w:rsidP="00575CA4">
      <w:pPr>
        <w:pStyle w:val="a3"/>
        <w:spacing w:line="360" w:lineRule="auto"/>
        <w:ind w:left="360"/>
        <w:jc w:val="both"/>
      </w:pPr>
      <w:r>
        <w:rPr>
          <w:rFonts w:hint="cs"/>
          <w:rtl/>
        </w:rPr>
        <w:t>"</w:t>
      </w:r>
      <w:r w:rsidRPr="00110A98">
        <w:rPr>
          <w:rFonts w:hint="cs"/>
          <w:b/>
          <w:bCs/>
          <w:rtl/>
        </w:rPr>
        <w:t>השאלה האם ההחלטה היא בעלת חשיבות משפטית או ציבורית כטענת המבקש או שהיא נעדרת תועלת כטענת המשיבה, אינה מהותית בעיני</w:t>
      </w:r>
      <w:r>
        <w:rPr>
          <w:rFonts w:hint="cs"/>
          <w:rtl/>
        </w:rPr>
        <w:t>".</w:t>
      </w:r>
    </w:p>
    <w:p w14:paraId="7224C02D" w14:textId="77777777" w:rsidR="005547E6" w:rsidRDefault="005547E6" w:rsidP="00575CA4">
      <w:pPr>
        <w:pStyle w:val="a3"/>
        <w:spacing w:line="240" w:lineRule="auto"/>
        <w:ind w:left="360"/>
        <w:jc w:val="both"/>
      </w:pPr>
    </w:p>
    <w:p w14:paraId="21E95E67" w14:textId="1E9741B7" w:rsidR="005D0CF0" w:rsidRDefault="00E63FB7" w:rsidP="00575CA4">
      <w:pPr>
        <w:pStyle w:val="a3"/>
        <w:numPr>
          <w:ilvl w:val="0"/>
          <w:numId w:val="3"/>
        </w:numPr>
        <w:spacing w:line="360" w:lineRule="auto"/>
        <w:jc w:val="both"/>
        <w:rPr>
          <w:rFonts w:hint="cs"/>
          <w:rtl/>
        </w:rPr>
      </w:pPr>
      <w:r>
        <w:rPr>
          <w:rFonts w:hint="cs"/>
          <w:rtl/>
        </w:rPr>
        <w:t>ב</w:t>
      </w:r>
      <w:r w:rsidR="00041192" w:rsidRPr="00041192">
        <w:rPr>
          <w:rtl/>
        </w:rPr>
        <w:t xml:space="preserve">עמ"ש </w:t>
      </w:r>
      <w:r>
        <w:rPr>
          <w:rFonts w:hint="cs"/>
          <w:rtl/>
        </w:rPr>
        <w:t>(</w:t>
      </w:r>
      <w:r w:rsidR="000C758B">
        <w:rPr>
          <w:rFonts w:hint="cs"/>
          <w:rtl/>
        </w:rPr>
        <w:t xml:space="preserve">מחוזי </w:t>
      </w:r>
      <w:r>
        <w:rPr>
          <w:rFonts w:hint="cs"/>
          <w:rtl/>
        </w:rPr>
        <w:t>מרכז)</w:t>
      </w:r>
      <w:r w:rsidR="00041192" w:rsidRPr="00041192">
        <w:rPr>
          <w:rtl/>
        </w:rPr>
        <w:t xml:space="preserve"> 587</w:t>
      </w:r>
      <w:r w:rsidR="00041192">
        <w:rPr>
          <w:rFonts w:hint="cs"/>
          <w:rtl/>
        </w:rPr>
        <w:t>35-05-19</w:t>
      </w:r>
      <w:r>
        <w:rPr>
          <w:rFonts w:hint="cs"/>
          <w:rtl/>
        </w:rPr>
        <w:t xml:space="preserve"> מפי כב' ההרכב </w:t>
      </w:r>
      <w:r w:rsidR="00C10DB0">
        <w:rPr>
          <w:rFonts w:hint="cs"/>
          <w:rtl/>
        </w:rPr>
        <w:t xml:space="preserve">שופטת </w:t>
      </w:r>
      <w:r>
        <w:rPr>
          <w:rFonts w:hint="cs"/>
          <w:rtl/>
        </w:rPr>
        <w:t xml:space="preserve">אב"ד </w:t>
      </w:r>
      <w:r w:rsidR="00C10DB0">
        <w:rPr>
          <w:rFonts w:hint="cs"/>
          <w:rtl/>
        </w:rPr>
        <w:t>מיכל ברנט, שופטת ורדה פלאוט, שופט צבי ויצמן</w:t>
      </w:r>
      <w:r w:rsidR="00041192">
        <w:rPr>
          <w:rFonts w:hint="cs"/>
          <w:rtl/>
        </w:rPr>
        <w:t>:</w:t>
      </w:r>
    </w:p>
    <w:p w14:paraId="667BA6FC" w14:textId="77777777" w:rsidR="00B046DC" w:rsidRDefault="00B046DC" w:rsidP="00575CA4">
      <w:pPr>
        <w:pStyle w:val="a3"/>
        <w:spacing w:line="240" w:lineRule="auto"/>
        <w:ind w:left="360"/>
        <w:jc w:val="both"/>
      </w:pPr>
    </w:p>
    <w:p w14:paraId="0257667D" w14:textId="77777777" w:rsidR="00575CA4" w:rsidRPr="00575CA4" w:rsidRDefault="00575CA4" w:rsidP="00A008BE">
      <w:pPr>
        <w:pStyle w:val="a3"/>
        <w:spacing w:line="360" w:lineRule="auto"/>
        <w:ind w:left="360"/>
        <w:jc w:val="both"/>
        <w:rPr>
          <w:b/>
          <w:bCs/>
          <w:rtl/>
        </w:rPr>
      </w:pPr>
      <w:r w:rsidRPr="00575CA4">
        <w:rPr>
          <w:b/>
          <w:bCs/>
          <w:rtl/>
        </w:rPr>
        <w:t>כבוד השופטים ברנט, פלאוט וויצמן, עמ"ש 58735-05-19, פסק דין המסביר יפה את חשיבות פרסום פסקי הדין בבתי המשפט למשפחה:</w:t>
      </w:r>
    </w:p>
    <w:p w14:paraId="6E037EAF" w14:textId="77777777" w:rsidR="00575CA4" w:rsidRPr="00575CA4" w:rsidRDefault="00575CA4" w:rsidP="00A008BE">
      <w:pPr>
        <w:pStyle w:val="a3"/>
        <w:spacing w:line="240" w:lineRule="auto"/>
        <w:ind w:left="360"/>
        <w:jc w:val="both"/>
        <w:rPr>
          <w:b/>
          <w:bCs/>
          <w:rtl/>
        </w:rPr>
      </w:pPr>
    </w:p>
    <w:p w14:paraId="171FDF0A" w14:textId="2E9F7459" w:rsidR="00575CA4" w:rsidRPr="00575CA4" w:rsidRDefault="00575CA4" w:rsidP="00A008BE">
      <w:pPr>
        <w:pStyle w:val="a3"/>
        <w:spacing w:line="360" w:lineRule="auto"/>
        <w:ind w:left="360"/>
        <w:jc w:val="both"/>
        <w:rPr>
          <w:b/>
          <w:bCs/>
          <w:rtl/>
        </w:rPr>
      </w:pPr>
      <w:r w:rsidRPr="00575CA4">
        <w:rPr>
          <w:rFonts w:hint="cs"/>
          <w:b/>
          <w:bCs/>
          <w:rtl/>
        </w:rPr>
        <w:t>"</w:t>
      </w:r>
      <w:r w:rsidRPr="00575CA4">
        <w:rPr>
          <w:b/>
          <w:bCs/>
          <w:rtl/>
        </w:rPr>
        <w:t xml:space="preserve">כאמור, מצאנו להתייחס לסוגיית פרסום פסק דין בדיני משפחה לגופה ומתוך שכך </w:t>
      </w:r>
      <w:proofErr w:type="spellStart"/>
      <w:r w:rsidRPr="00575CA4">
        <w:rPr>
          <w:b/>
          <w:bCs/>
          <w:rtl/>
        </w:rPr>
        <w:t>ליתן</w:t>
      </w:r>
      <w:proofErr w:type="spellEnd"/>
      <w:r w:rsidRPr="00575CA4">
        <w:rPr>
          <w:b/>
          <w:bCs/>
          <w:rtl/>
        </w:rPr>
        <w:t xml:space="preserve"> מענה לבקשה עצמה. </w:t>
      </w:r>
    </w:p>
    <w:p w14:paraId="3CBC3669" w14:textId="77777777" w:rsidR="00575CA4" w:rsidRPr="00575CA4" w:rsidRDefault="00575CA4" w:rsidP="00A008BE">
      <w:pPr>
        <w:pStyle w:val="a3"/>
        <w:spacing w:line="240" w:lineRule="auto"/>
        <w:ind w:left="360"/>
        <w:jc w:val="both"/>
        <w:rPr>
          <w:b/>
          <w:bCs/>
          <w:rtl/>
        </w:rPr>
      </w:pPr>
    </w:p>
    <w:p w14:paraId="1B802154" w14:textId="77777777" w:rsidR="00575CA4" w:rsidRPr="00575CA4" w:rsidRDefault="00575CA4" w:rsidP="00A008BE">
      <w:pPr>
        <w:pStyle w:val="a3"/>
        <w:spacing w:line="360" w:lineRule="auto"/>
        <w:ind w:left="360"/>
        <w:jc w:val="both"/>
        <w:rPr>
          <w:b/>
          <w:bCs/>
          <w:rtl/>
        </w:rPr>
      </w:pPr>
      <w:r w:rsidRPr="00575CA4">
        <w:rPr>
          <w:b/>
          <w:bCs/>
          <w:rtl/>
        </w:rPr>
        <w:t xml:space="preserve">ראשון יאמר - פרסומו של פסק דינו אינו תלוי כלל ועיקר בחשיבותו. פסק דין נקרא על ידי רבים ושונים, ועניין החשוב לאחד אפשר שאינו חשוב לשני. לא הרי העניין שמגלים הצדדים לתיק בפסק הדין כעניין שמגלה בו הקורא מן החוץ, ולא הרי חשיבותו של דבר למלומד העוסק בסוגיה פלונית כעניינו להדיוט מן השוק, כך סטודנט הלומד לבחינה, עיתונאי, עורך דין הנדרש לתקדימים, ובלוגר נלהב, לכל אחד מהם עניין שונה בפירות המשפטיים היוצאים מבית המשפט וחשיבות הכתוב בפסק הדין משתנה מאחד לאחד.  לפיכך, אין מאזניים אחידים בהן נמדוד את חשיבותו של פסק דין  ואיננו נדרשים לשמש "כשַׁמַּאֵי פסיקה" על מנת   לבחון איזה פסק דין יש לפרסם ואיזה לא. דברים כגון דא </w:t>
      </w:r>
      <w:r w:rsidRPr="00575CA4">
        <w:rPr>
          <w:b/>
          <w:bCs/>
          <w:rtl/>
        </w:rPr>
        <w:lastRenderedPageBreak/>
        <w:t xml:space="preserve">מצאנו בפסיקתו של בית המשפט המחוזי בחיפה בעניין רמש (חיפה) 53787-01-20 - </w:t>
      </w:r>
      <w:proofErr w:type="spellStart"/>
      <w:r w:rsidRPr="00575CA4">
        <w:rPr>
          <w:b/>
          <w:bCs/>
          <w:rtl/>
        </w:rPr>
        <w:t>ד.ב.ש</w:t>
      </w:r>
      <w:proofErr w:type="spellEnd"/>
      <w:r w:rsidRPr="00575CA4">
        <w:rPr>
          <w:b/>
          <w:bCs/>
          <w:rtl/>
        </w:rPr>
        <w:t xml:space="preserve"> נ' ע.ג, (2020) במסגרתו הובהר מפי כב' </w:t>
      </w:r>
      <w:proofErr w:type="spellStart"/>
      <w:r w:rsidRPr="00575CA4">
        <w:rPr>
          <w:b/>
          <w:bCs/>
          <w:rtl/>
        </w:rPr>
        <w:t>הש</w:t>
      </w:r>
      <w:proofErr w:type="spellEnd"/>
      <w:r w:rsidRPr="00575CA4">
        <w:rPr>
          <w:b/>
          <w:bCs/>
          <w:rtl/>
        </w:rPr>
        <w:t>' א. אלון בלשון שיש להעתיקה לענייננו –</w:t>
      </w:r>
    </w:p>
    <w:p w14:paraId="1D8B5C6C" w14:textId="77777777" w:rsidR="00575CA4" w:rsidRPr="00575CA4" w:rsidRDefault="00575CA4" w:rsidP="00A008BE">
      <w:pPr>
        <w:pStyle w:val="a3"/>
        <w:spacing w:line="240" w:lineRule="auto"/>
        <w:ind w:left="360"/>
        <w:jc w:val="both"/>
        <w:rPr>
          <w:b/>
          <w:bCs/>
          <w:rtl/>
        </w:rPr>
      </w:pPr>
    </w:p>
    <w:p w14:paraId="06656AF6" w14:textId="77777777" w:rsidR="00575CA4" w:rsidRPr="00575CA4" w:rsidRDefault="00575CA4" w:rsidP="00A008BE">
      <w:pPr>
        <w:pStyle w:val="a3"/>
        <w:spacing w:line="360" w:lineRule="auto"/>
        <w:ind w:left="360"/>
        <w:jc w:val="both"/>
        <w:rPr>
          <w:b/>
          <w:bCs/>
          <w:rtl/>
        </w:rPr>
      </w:pPr>
      <w:r w:rsidRPr="00575CA4">
        <w:rPr>
          <w:b/>
          <w:bCs/>
          <w:rtl/>
        </w:rPr>
        <w:t>"השאלה האם ההחלטה היא בעלת חשיבות משפטית או ציבורית כטענת המבקש או שהיא נעדרת תועלת כטענת המשיבה, אינה מהותית בעיניי"</w:t>
      </w:r>
    </w:p>
    <w:p w14:paraId="7BC51D08" w14:textId="77777777" w:rsidR="00575CA4" w:rsidRPr="00575CA4" w:rsidRDefault="00575CA4" w:rsidP="00A008BE">
      <w:pPr>
        <w:pStyle w:val="a3"/>
        <w:spacing w:line="240" w:lineRule="auto"/>
        <w:ind w:left="360"/>
        <w:jc w:val="both"/>
        <w:rPr>
          <w:b/>
          <w:bCs/>
          <w:rtl/>
        </w:rPr>
      </w:pPr>
    </w:p>
    <w:p w14:paraId="53F7A88D" w14:textId="77777777" w:rsidR="00575CA4" w:rsidRPr="00575CA4" w:rsidRDefault="00575CA4" w:rsidP="00A008BE">
      <w:pPr>
        <w:pStyle w:val="a3"/>
        <w:spacing w:line="360" w:lineRule="auto"/>
        <w:ind w:left="360"/>
        <w:jc w:val="both"/>
        <w:rPr>
          <w:b/>
          <w:bCs/>
          <w:rtl/>
        </w:rPr>
      </w:pPr>
      <w:r w:rsidRPr="00575CA4">
        <w:rPr>
          <w:b/>
          <w:bCs/>
          <w:rtl/>
        </w:rPr>
        <w:t xml:space="preserve">הכלל הוא שבית המשפט אינו "כותב למגירה"  ופסק הדין לעולם נועד לעין הציבורית, לפיכך יש לפרסמו.  אכן דיונים בעניינים שהצנעה יפה להם, כדיוני בית המשפט לענייני משפחה הנסובים סביב המרחב המשפחתי הפרטי של המשפחות המתדיינות,  ראוי שיתנהלו בדלתיים סגורות, כמצוות המחוקק (דוגמת סע' 68 (א)  ו – (ה) לחוק בתי המשפט) שהרי מה לו לאדם מן החוץ להלך רכיל בעניינה הפרטית של משפחה </w:t>
      </w:r>
      <w:proofErr w:type="spellStart"/>
      <w:r w:rsidRPr="00575CA4">
        <w:rPr>
          <w:b/>
          <w:bCs/>
          <w:rtl/>
        </w:rPr>
        <w:t>מסויימת</w:t>
      </w:r>
      <w:proofErr w:type="spellEnd"/>
      <w:r w:rsidRPr="00575CA4">
        <w:rPr>
          <w:b/>
          <w:bCs/>
          <w:rtl/>
        </w:rPr>
        <w:t>. ואולם, בצד זה, פרי הדיונים ותוצאתם הסופית, היינו – פסק הדין, ככל שאין נימוק ראוי לחסותו, יפורסם באופן ראוי כאשר פרטי הצדדים אינם חשופים. ככלות הכל, על דרך הכלל, מעת שנחסה את שמות הצדדים ופרטים המהותיים הקשורים לזהותם יהיו הם בגדר פלונים וילמד הקורא מתוכנם של דברים ולא מגופם של אנשים. </w:t>
      </w:r>
    </w:p>
    <w:p w14:paraId="5F0A1199" w14:textId="77777777" w:rsidR="00575CA4" w:rsidRPr="00575CA4" w:rsidRDefault="00575CA4" w:rsidP="00A008BE">
      <w:pPr>
        <w:pStyle w:val="a3"/>
        <w:spacing w:line="240" w:lineRule="auto"/>
        <w:ind w:left="360"/>
        <w:jc w:val="both"/>
        <w:rPr>
          <w:b/>
          <w:bCs/>
          <w:rtl/>
        </w:rPr>
      </w:pPr>
    </w:p>
    <w:p w14:paraId="2051F566" w14:textId="77777777" w:rsidR="00575CA4" w:rsidRPr="00575CA4" w:rsidRDefault="00575CA4" w:rsidP="00A008BE">
      <w:pPr>
        <w:pStyle w:val="a3"/>
        <w:spacing w:line="360" w:lineRule="auto"/>
        <w:ind w:left="360"/>
        <w:jc w:val="both"/>
        <w:rPr>
          <w:b/>
          <w:bCs/>
          <w:rtl/>
        </w:rPr>
      </w:pPr>
      <w:r w:rsidRPr="00575CA4">
        <w:rPr>
          <w:b/>
          <w:bCs/>
          <w:rtl/>
        </w:rPr>
        <w:t>בדרך הנזכרת ימצא האיזון הראוי שבין הגנה על עניינם הפרטי של הצדדים לבין עניינו הכללי של הציבור ללמוד ממסקנות פסק הדין. וגם לכאן יפים הדברים שנאמרו בעניין רמש (חיפה) 53787-01-20 הנ"ל –</w:t>
      </w:r>
    </w:p>
    <w:p w14:paraId="0340033B" w14:textId="77777777" w:rsidR="00575CA4" w:rsidRPr="00575CA4" w:rsidRDefault="00575CA4" w:rsidP="00A008BE">
      <w:pPr>
        <w:pStyle w:val="a3"/>
        <w:spacing w:line="240" w:lineRule="auto"/>
        <w:ind w:left="360"/>
        <w:jc w:val="both"/>
        <w:rPr>
          <w:b/>
          <w:bCs/>
          <w:rtl/>
        </w:rPr>
      </w:pPr>
      <w:bookmarkStart w:id="0" w:name="_GoBack"/>
      <w:bookmarkEnd w:id="0"/>
    </w:p>
    <w:p w14:paraId="07C82126" w14:textId="49C89240" w:rsidR="00041192" w:rsidRPr="00575CA4" w:rsidRDefault="00575CA4" w:rsidP="00A008BE">
      <w:pPr>
        <w:pStyle w:val="a3"/>
        <w:spacing w:line="360" w:lineRule="auto"/>
        <w:ind w:left="360"/>
        <w:jc w:val="both"/>
        <w:rPr>
          <w:rFonts w:hint="cs"/>
          <w:b/>
          <w:bCs/>
          <w:rtl/>
        </w:rPr>
      </w:pPr>
      <w:r w:rsidRPr="00575CA4">
        <w:rPr>
          <w:b/>
          <w:bCs/>
          <w:rtl/>
        </w:rPr>
        <w:t xml:space="preserve">"פרסום החלטות ופסקי דין בדיני משפחה הינו עניין חשוב כשלעצמו, בעל תכלית עצמאית, וזאת ללא כל תלות וקשר מחייב בחשיבותה המשפטית או הציבורית של ההחלטה או פסק הדין עצמו. הידע המשפטי המתהווה בפסיקותיו של בתי המשפט, הינו ידע חברתי כללי ולא של מאן דהוא פרטי. </w:t>
      </w:r>
      <w:proofErr w:type="spellStart"/>
      <w:r w:rsidRPr="00575CA4">
        <w:rPr>
          <w:b/>
          <w:bCs/>
          <w:rtl/>
        </w:rPr>
        <w:t>הנגשתו</w:t>
      </w:r>
      <w:proofErr w:type="spellEnd"/>
      <w:r w:rsidRPr="00575CA4">
        <w:rPr>
          <w:b/>
          <w:bCs/>
          <w:rtl/>
        </w:rPr>
        <w:t xml:space="preserve"> מאפשרת לציבור המתדיינים ולבאי כוחם ללמוד לעומק מצבים משפטיים, לנתחם, ולעשות בהם שימוש (עיינו: רות הלפרין ועדי </w:t>
      </w:r>
      <w:proofErr w:type="spellStart"/>
      <w:r w:rsidRPr="00575CA4">
        <w:rPr>
          <w:b/>
          <w:bCs/>
          <w:rtl/>
        </w:rPr>
        <w:t>בלוטנר</w:t>
      </w:r>
      <w:proofErr w:type="spellEnd"/>
      <w:r w:rsidRPr="00575CA4">
        <w:rPr>
          <w:b/>
          <w:bCs/>
          <w:rtl/>
        </w:rPr>
        <w:t xml:space="preserve">, "תורת הנסתר", עורך דין, אפריל 2013, 112). בנוסף, ככל שגוף הידע המונגש לציבור ולסוכני המשפט יהיה רחב יותר, כך תתקבלנה תמונה מציאותית ונכונה יותר לגבי המצב המשפטי הקיים בישראל, וזאת בניגוד להותרת מצב בו פסקי הדין והחלטות של בית המשפט ישמרו סמויים מן העין. עיקרון פרסום הדיון באופן רחב ומלא מאפשר את פיתוח המשפט, המותנה בביקורת אקדמאית מקצועית, המסוגלת לנתח את הפסיקה, להצביע על כשליה, </w:t>
      </w:r>
      <w:proofErr w:type="spellStart"/>
      <w:r w:rsidRPr="00575CA4">
        <w:rPr>
          <w:b/>
          <w:bCs/>
          <w:rtl/>
        </w:rPr>
        <w:t>חוזקותיה</w:t>
      </w:r>
      <w:proofErr w:type="spellEnd"/>
      <w:r w:rsidRPr="00575CA4">
        <w:rPr>
          <w:b/>
          <w:bCs/>
          <w:rtl/>
        </w:rPr>
        <w:t xml:space="preserve"> ותוצאותיה, ביקורת שיש בה כדי לשמש תמריץ לשינוי חקיקה ולשינויי מדיניות, שינוי קביעת הלכות משפטיות קיימות, וקביעת הלכות משפטיות חדשות".</w:t>
      </w:r>
    </w:p>
    <w:p w14:paraId="363F55AC" w14:textId="77777777" w:rsidR="00575CA4" w:rsidRPr="00575CA4" w:rsidRDefault="00575CA4" w:rsidP="00575CA4">
      <w:pPr>
        <w:pStyle w:val="a3"/>
        <w:spacing w:line="240" w:lineRule="auto"/>
        <w:ind w:left="360"/>
        <w:jc w:val="both"/>
        <w:rPr>
          <w:rtl/>
        </w:rPr>
      </w:pPr>
    </w:p>
    <w:p w14:paraId="40363D98" w14:textId="59816952" w:rsidR="00041192" w:rsidRDefault="00575CA4" w:rsidP="00575CA4">
      <w:pPr>
        <w:pStyle w:val="a3"/>
        <w:spacing w:line="360" w:lineRule="auto"/>
        <w:ind w:left="360"/>
        <w:jc w:val="both"/>
        <w:rPr>
          <w:rFonts w:hint="cs"/>
          <w:rtl/>
        </w:rPr>
      </w:pPr>
      <w:r>
        <w:rPr>
          <w:rFonts w:hint="cs"/>
          <w:rtl/>
        </w:rPr>
        <w:t xml:space="preserve">כאמור, </w:t>
      </w:r>
      <w:r w:rsidR="00041192">
        <w:rPr>
          <w:rFonts w:hint="cs"/>
          <w:rtl/>
        </w:rPr>
        <w:t>ב</w:t>
      </w:r>
      <w:r w:rsidR="00E63FB7">
        <w:rPr>
          <w:rFonts w:hint="cs"/>
          <w:rtl/>
        </w:rPr>
        <w:t>ר</w:t>
      </w:r>
      <w:r w:rsidR="00041192" w:rsidRPr="00041192">
        <w:rPr>
          <w:rtl/>
        </w:rPr>
        <w:t>מ</w:t>
      </w:r>
      <w:r w:rsidR="00041192">
        <w:rPr>
          <w:rFonts w:hint="cs"/>
          <w:rtl/>
        </w:rPr>
        <w:t>"</w:t>
      </w:r>
      <w:r w:rsidR="00041192" w:rsidRPr="00041192">
        <w:rPr>
          <w:rtl/>
        </w:rPr>
        <w:t>ש</w:t>
      </w:r>
      <w:r w:rsidR="00E63FB7">
        <w:rPr>
          <w:rFonts w:hint="cs"/>
          <w:rtl/>
        </w:rPr>
        <w:t xml:space="preserve"> (חיפה)</w:t>
      </w:r>
      <w:r w:rsidR="00041192" w:rsidRPr="00041192">
        <w:rPr>
          <w:rtl/>
        </w:rPr>
        <w:t xml:space="preserve"> </w:t>
      </w:r>
      <w:r w:rsidR="00584AC7">
        <w:rPr>
          <w:rFonts w:hint="cs"/>
          <w:rtl/>
        </w:rPr>
        <w:t xml:space="preserve"> </w:t>
      </w:r>
      <w:r w:rsidR="00041192" w:rsidRPr="00041192">
        <w:rPr>
          <w:rtl/>
        </w:rPr>
        <w:t>53787-</w:t>
      </w:r>
      <w:r w:rsidR="00041192">
        <w:rPr>
          <w:rFonts w:hint="cs"/>
          <w:rtl/>
        </w:rPr>
        <w:t>01-20</w:t>
      </w:r>
      <w:r w:rsidR="000C758B">
        <w:rPr>
          <w:rFonts w:hint="cs"/>
          <w:rtl/>
        </w:rPr>
        <w:t xml:space="preserve"> </w:t>
      </w:r>
      <w:r w:rsidR="00584AC7">
        <w:rPr>
          <w:rFonts w:hint="cs"/>
          <w:rtl/>
        </w:rPr>
        <w:t>מפי כב' השופטת א. אלון</w:t>
      </w:r>
      <w:r w:rsidR="00A008BE">
        <w:rPr>
          <w:rFonts w:hint="cs"/>
          <w:rtl/>
        </w:rPr>
        <w:t xml:space="preserve"> צוין בנוסף</w:t>
      </w:r>
      <w:r w:rsidR="00041192">
        <w:rPr>
          <w:rFonts w:hint="cs"/>
          <w:rtl/>
        </w:rPr>
        <w:t>:</w:t>
      </w:r>
    </w:p>
    <w:p w14:paraId="2D494832" w14:textId="77777777" w:rsidR="004958D4" w:rsidRDefault="004958D4" w:rsidP="00575CA4">
      <w:pPr>
        <w:pStyle w:val="a3"/>
        <w:spacing w:line="240" w:lineRule="auto"/>
        <w:ind w:left="360"/>
        <w:jc w:val="both"/>
        <w:rPr>
          <w:rtl/>
        </w:rPr>
      </w:pPr>
    </w:p>
    <w:p w14:paraId="42F66270" w14:textId="5B09E619" w:rsidR="00041192" w:rsidRDefault="00007240" w:rsidP="00575CA4">
      <w:pPr>
        <w:pStyle w:val="a3"/>
        <w:spacing w:line="360" w:lineRule="auto"/>
        <w:ind w:left="360"/>
        <w:jc w:val="both"/>
        <w:rPr>
          <w:rtl/>
        </w:rPr>
      </w:pPr>
      <w:r>
        <w:rPr>
          <w:rFonts w:hint="cs"/>
          <w:rtl/>
        </w:rPr>
        <w:t>"</w:t>
      </w:r>
      <w:r w:rsidRPr="00007240">
        <w:rPr>
          <w:b/>
          <w:bCs/>
          <w:rtl/>
        </w:rPr>
        <w:t>מרבית ההחלטות ופסקי הדין לענייני משפחה, עיקרם דיני</w:t>
      </w:r>
      <w:r w:rsidRPr="00007240">
        <w:rPr>
          <w:rFonts w:hint="cs"/>
          <w:b/>
          <w:bCs/>
          <w:rtl/>
        </w:rPr>
        <w:t xml:space="preserve"> </w:t>
      </w:r>
      <w:r w:rsidRPr="00007240">
        <w:rPr>
          <w:b/>
          <w:bCs/>
          <w:rtl/>
        </w:rPr>
        <w:t xml:space="preserve">נפשות וממון הרלבנטיים לכל אדם בישראל, החלטות ופסקי </w:t>
      </w:r>
      <w:r w:rsidRPr="00007240">
        <w:rPr>
          <w:rFonts w:hint="cs"/>
          <w:b/>
          <w:bCs/>
          <w:rtl/>
        </w:rPr>
        <w:t>ד</w:t>
      </w:r>
      <w:r w:rsidRPr="00007240">
        <w:rPr>
          <w:b/>
          <w:bCs/>
          <w:rtl/>
        </w:rPr>
        <w:t>ין אלה אינם חשופים לביקורת ציבורית לגיטימית וצודקת, היעדר פרסומם פוגע בכל סוכני המשפט ובשיטת המשפט כולה. פרסום החלטות ופסקי דין חיוני לתפקודה התקין של מערכת המשפט ולהצלחתה</w:t>
      </w:r>
      <w:r>
        <w:rPr>
          <w:rFonts w:hint="cs"/>
          <w:rtl/>
        </w:rPr>
        <w:t>"</w:t>
      </w:r>
    </w:p>
    <w:p w14:paraId="25CD238D" w14:textId="49D9A33A" w:rsidR="0007273F" w:rsidRDefault="0007273F" w:rsidP="00575CA4">
      <w:pPr>
        <w:pStyle w:val="a3"/>
        <w:spacing w:line="360" w:lineRule="auto"/>
        <w:ind w:left="360"/>
        <w:jc w:val="both"/>
        <w:rPr>
          <w:rtl/>
        </w:rPr>
      </w:pPr>
    </w:p>
    <w:p w14:paraId="586CDD16" w14:textId="29A13B82" w:rsidR="00007240" w:rsidRPr="00D64C79" w:rsidRDefault="0007273F" w:rsidP="00575CA4">
      <w:pPr>
        <w:spacing w:line="360" w:lineRule="auto"/>
        <w:jc w:val="both"/>
        <w:rPr>
          <w:b/>
          <w:bCs/>
          <w:rtl/>
        </w:rPr>
      </w:pPr>
      <w:r w:rsidRPr="00584AC7">
        <w:rPr>
          <w:rFonts w:hint="cs"/>
          <w:b/>
          <w:bCs/>
          <w:rtl/>
        </w:rPr>
        <w:t xml:space="preserve">אשר על כן מבוקש מבית המשפט להתיר את </w:t>
      </w:r>
      <w:r w:rsidR="00DC765F" w:rsidRPr="00584AC7">
        <w:rPr>
          <w:rFonts w:hint="cs"/>
          <w:b/>
          <w:bCs/>
          <w:rtl/>
        </w:rPr>
        <w:t>פרסום פסק הדין תוך השמטת פרטי הצדדים.</w:t>
      </w:r>
    </w:p>
    <w:sectPr w:rsidR="00007240" w:rsidRPr="00D64C79" w:rsidSect="00D64C79">
      <w:pgSz w:w="12240" w:h="15840"/>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80A47" w14:textId="77777777" w:rsidR="00893F60" w:rsidRDefault="00893F60" w:rsidP="0055275D">
      <w:pPr>
        <w:spacing w:after="0" w:line="240" w:lineRule="auto"/>
      </w:pPr>
      <w:r>
        <w:separator/>
      </w:r>
    </w:p>
  </w:endnote>
  <w:endnote w:type="continuationSeparator" w:id="0">
    <w:p w14:paraId="79A542B1" w14:textId="77777777" w:rsidR="00893F60" w:rsidRDefault="00893F60" w:rsidP="00552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BAC9D" w14:textId="77777777" w:rsidR="00893F60" w:rsidRDefault="00893F60" w:rsidP="0055275D">
      <w:pPr>
        <w:spacing w:after="0" w:line="240" w:lineRule="auto"/>
      </w:pPr>
      <w:r>
        <w:separator/>
      </w:r>
    </w:p>
  </w:footnote>
  <w:footnote w:type="continuationSeparator" w:id="0">
    <w:p w14:paraId="4DE7F8F3" w14:textId="77777777" w:rsidR="00893F60" w:rsidRDefault="00893F60" w:rsidP="005527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20311"/>
    <w:multiLevelType w:val="multilevel"/>
    <w:tmpl w:val="C3949C6A"/>
    <w:lvl w:ilvl="0">
      <w:start w:val="1"/>
      <w:numFmt w:val="decimal"/>
      <w:lvlText w:val="%1."/>
      <w:lvlJc w:val="left"/>
      <w:pPr>
        <w:ind w:left="360" w:hanging="360"/>
      </w:pPr>
      <w:rPr>
        <w:b/>
        <w:bCs/>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5A63C4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89D6891"/>
    <w:multiLevelType w:val="hybridMultilevel"/>
    <w:tmpl w:val="C3DA0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75D"/>
    <w:rsid w:val="00007240"/>
    <w:rsid w:val="00041192"/>
    <w:rsid w:val="0007273F"/>
    <w:rsid w:val="00085A27"/>
    <w:rsid w:val="000C758B"/>
    <w:rsid w:val="001067DA"/>
    <w:rsid w:val="00110A98"/>
    <w:rsid w:val="002107B7"/>
    <w:rsid w:val="00244330"/>
    <w:rsid w:val="004100B1"/>
    <w:rsid w:val="00453B99"/>
    <w:rsid w:val="004958D4"/>
    <w:rsid w:val="00524944"/>
    <w:rsid w:val="0055275D"/>
    <w:rsid w:val="005547E6"/>
    <w:rsid w:val="00575CA4"/>
    <w:rsid w:val="00584AC7"/>
    <w:rsid w:val="0058744B"/>
    <w:rsid w:val="005D0CF0"/>
    <w:rsid w:val="005F465E"/>
    <w:rsid w:val="00675060"/>
    <w:rsid w:val="006A511A"/>
    <w:rsid w:val="007174EF"/>
    <w:rsid w:val="00724756"/>
    <w:rsid w:val="008537FE"/>
    <w:rsid w:val="00893F60"/>
    <w:rsid w:val="008C207F"/>
    <w:rsid w:val="009227CF"/>
    <w:rsid w:val="00995983"/>
    <w:rsid w:val="00A008BE"/>
    <w:rsid w:val="00A90BBB"/>
    <w:rsid w:val="00B046DC"/>
    <w:rsid w:val="00BC6EBA"/>
    <w:rsid w:val="00C10DB0"/>
    <w:rsid w:val="00D64C79"/>
    <w:rsid w:val="00DC765F"/>
    <w:rsid w:val="00E63FB7"/>
    <w:rsid w:val="00E90A45"/>
    <w:rsid w:val="00F13D64"/>
    <w:rsid w:val="00F50A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7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75D"/>
    <w:pPr>
      <w:bidi/>
    </w:pPr>
    <w:rPr>
      <w:rFonts w:ascii="David" w:hAnsi="David" w:cs="David"/>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0CF0"/>
    <w:pPr>
      <w:ind w:left="720"/>
      <w:contextualSpacing/>
    </w:pPr>
  </w:style>
  <w:style w:type="character" w:styleId="Hyperlink">
    <w:name w:val="Hyperlink"/>
    <w:basedOn w:val="a0"/>
    <w:uiPriority w:val="99"/>
    <w:semiHidden/>
    <w:unhideWhenUsed/>
    <w:rsid w:val="004958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75D"/>
    <w:pPr>
      <w:bidi/>
    </w:pPr>
    <w:rPr>
      <w:rFonts w:ascii="David" w:hAnsi="David" w:cs="David"/>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0CF0"/>
    <w:pPr>
      <w:ind w:left="720"/>
      <w:contextualSpacing/>
    </w:pPr>
  </w:style>
  <w:style w:type="character" w:styleId="Hyperlink">
    <w:name w:val="Hyperlink"/>
    <w:basedOn w:val="a0"/>
    <w:uiPriority w:val="99"/>
    <w:semiHidden/>
    <w:unhideWhenUsed/>
    <w:rsid w:val="004958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6557">
      <w:bodyDiv w:val="1"/>
      <w:marLeft w:val="0"/>
      <w:marRight w:val="0"/>
      <w:marTop w:val="0"/>
      <w:marBottom w:val="0"/>
      <w:divBdr>
        <w:top w:val="none" w:sz="0" w:space="0" w:color="auto"/>
        <w:left w:val="none" w:sz="0" w:space="0" w:color="auto"/>
        <w:bottom w:val="none" w:sz="0" w:space="0" w:color="auto"/>
        <w:right w:val="none" w:sz="0" w:space="0" w:color="auto"/>
      </w:divBdr>
    </w:div>
    <w:div w:id="357702793">
      <w:bodyDiv w:val="1"/>
      <w:marLeft w:val="0"/>
      <w:marRight w:val="0"/>
      <w:marTop w:val="0"/>
      <w:marBottom w:val="0"/>
      <w:divBdr>
        <w:top w:val="none" w:sz="0" w:space="0" w:color="auto"/>
        <w:left w:val="none" w:sz="0" w:space="0" w:color="auto"/>
        <w:bottom w:val="none" w:sz="0" w:space="0" w:color="auto"/>
        <w:right w:val="none" w:sz="0" w:space="0" w:color="auto"/>
      </w:divBdr>
    </w:div>
    <w:div w:id="965431113">
      <w:bodyDiv w:val="1"/>
      <w:marLeft w:val="0"/>
      <w:marRight w:val="0"/>
      <w:marTop w:val="0"/>
      <w:marBottom w:val="0"/>
      <w:divBdr>
        <w:top w:val="none" w:sz="0" w:space="0" w:color="auto"/>
        <w:left w:val="none" w:sz="0" w:space="0" w:color="auto"/>
        <w:bottom w:val="none" w:sz="0" w:space="0" w:color="auto"/>
        <w:right w:val="none" w:sz="0" w:space="0" w:color="auto"/>
      </w:divBdr>
    </w:div>
    <w:div w:id="1126922634">
      <w:bodyDiv w:val="1"/>
      <w:marLeft w:val="0"/>
      <w:marRight w:val="0"/>
      <w:marTop w:val="0"/>
      <w:marBottom w:val="0"/>
      <w:divBdr>
        <w:top w:val="none" w:sz="0" w:space="0" w:color="auto"/>
        <w:left w:val="none" w:sz="0" w:space="0" w:color="auto"/>
        <w:bottom w:val="none" w:sz="0" w:space="0" w:color="auto"/>
        <w:right w:val="none" w:sz="0" w:space="0" w:color="auto"/>
      </w:divBdr>
    </w:div>
    <w:div w:id="1965769309">
      <w:bodyDiv w:val="1"/>
      <w:marLeft w:val="0"/>
      <w:marRight w:val="0"/>
      <w:marTop w:val="0"/>
      <w:marBottom w:val="0"/>
      <w:divBdr>
        <w:top w:val="none" w:sz="0" w:space="0" w:color="auto"/>
        <w:left w:val="none" w:sz="0" w:space="0" w:color="auto"/>
        <w:bottom w:val="none" w:sz="0" w:space="0" w:color="auto"/>
        <w:right w:val="none" w:sz="0" w:space="0" w:color="auto"/>
      </w:divBdr>
    </w:div>
    <w:div w:id="2003074345">
      <w:bodyDiv w:val="1"/>
      <w:marLeft w:val="0"/>
      <w:marRight w:val="0"/>
      <w:marTop w:val="0"/>
      <w:marBottom w:val="0"/>
      <w:divBdr>
        <w:top w:val="none" w:sz="0" w:space="0" w:color="auto"/>
        <w:left w:val="none" w:sz="0" w:space="0" w:color="auto"/>
        <w:bottom w:val="none" w:sz="0" w:space="0" w:color="auto"/>
        <w:right w:val="none" w:sz="0" w:space="0" w:color="auto"/>
      </w:divBdr>
    </w:div>
    <w:div w:id="209697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710</Words>
  <Characters>3555</Characters>
  <Application>Microsoft Office Word</Application>
  <DocSecurity>0</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Razi, Itzhak (Mobileye)</dc:creator>
  <cp:lastModifiedBy>Guy</cp:lastModifiedBy>
  <cp:revision>5</cp:revision>
  <dcterms:created xsi:type="dcterms:W3CDTF">2022-01-30T08:14:00Z</dcterms:created>
  <dcterms:modified xsi:type="dcterms:W3CDTF">2022-01-30T08:27:00Z</dcterms:modified>
</cp:coreProperties>
</file>